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tbl>
      <w:tblPr>
        <w:tblStyle w:val="Table1"/>
        <w:tblW w:w="84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blHeader w:val="0"/>
        </w:trPr>
        <w:tc>
          <w:tcPr>
            <w:tcBorders>
              <w:bottom w:color="2f5496" w:space="0" w:sz="4" w:val="single"/>
            </w:tcBorders>
          </w:tcPr>
          <w:p w:rsidR="00000000" w:rsidDel="00000000" w:rsidP="00000000" w:rsidRDefault="00000000" w:rsidRPr="00000000" w14:paraId="00000007">
            <w:pPr>
              <w:jc w:val="center"/>
              <w:rPr>
                <w:rFonts w:ascii="Open Sans" w:cs="Open Sans" w:eastAsia="Open Sans" w:hAnsi="Open Sans"/>
                <w:b w:val="1"/>
                <w:color w:val="0000ff"/>
              </w:rPr>
            </w:pPr>
            <w:r w:rsidDel="00000000" w:rsidR="00000000" w:rsidRPr="00000000">
              <w:rPr>
                <w:rtl w:val="0"/>
              </w:rPr>
            </w:r>
          </w:p>
          <w:p w:rsidR="00000000" w:rsidDel="00000000" w:rsidP="00000000" w:rsidRDefault="00000000" w:rsidRPr="00000000" w14:paraId="00000008">
            <w:pPr>
              <w:spacing w:line="360" w:lineRule="auto"/>
              <w:jc w:val="center"/>
              <w:rPr>
                <w:rFonts w:ascii="Open Sans" w:cs="Open Sans" w:eastAsia="Open Sans" w:hAnsi="Open Sans"/>
                <w:b w:val="1"/>
                <w:sz w:val="26"/>
                <w:szCs w:val="26"/>
              </w:rPr>
            </w:pPr>
            <w:r w:rsidDel="00000000" w:rsidR="00000000" w:rsidRPr="00000000">
              <w:rPr>
                <w:rFonts w:ascii="Open Sans" w:cs="Open Sans" w:eastAsia="Open Sans" w:hAnsi="Open Sans"/>
                <w:b w:val="1"/>
                <w:color w:val="0000ff"/>
                <w:sz w:val="26"/>
                <w:szCs w:val="26"/>
                <w:rtl w:val="0"/>
              </w:rPr>
              <w:t xml:space="preserve">E10.1.5</w:t>
            </w:r>
            <w:r w:rsidDel="00000000" w:rsidR="00000000" w:rsidRPr="00000000">
              <w:rPr>
                <w:rFonts w:ascii="Open Sans" w:cs="Open Sans" w:eastAsia="Open Sans" w:hAnsi="Open Sans"/>
                <w:color w:val="0000ff"/>
                <w:sz w:val="26"/>
                <w:szCs w:val="26"/>
                <w:rtl w:val="0"/>
              </w:rPr>
              <w:t xml:space="preserve"> </w:t>
            </w:r>
            <w:r w:rsidDel="00000000" w:rsidR="00000000" w:rsidRPr="00000000">
              <w:rPr>
                <w:rFonts w:ascii="Open Sans" w:cs="Open Sans" w:eastAsia="Open Sans" w:hAnsi="Open Sans"/>
                <w:b w:val="1"/>
                <w:sz w:val="26"/>
                <w:szCs w:val="26"/>
                <w:rtl w:val="0"/>
              </w:rPr>
              <w:t xml:space="preserve">Informe ejecutivo sobre las acciones de difusión de la obtención del sello y su impacto</w:t>
            </w:r>
          </w:p>
          <w:p w:rsidR="00000000" w:rsidDel="00000000" w:rsidP="00000000" w:rsidRDefault="00000000" w:rsidRPr="00000000" w14:paraId="00000009">
            <w:pPr>
              <w:jc w:val="center"/>
              <w:rPr/>
            </w:pPr>
            <w:r w:rsidDel="00000000" w:rsidR="00000000" w:rsidRPr="00000000">
              <w:rPr>
                <w:rtl w:val="0"/>
              </w:rPr>
            </w:r>
          </w:p>
        </w:tc>
      </w:tr>
      <w:tr>
        <w:trPr>
          <w:cantSplit w:val="0"/>
          <w:tblHeader w:val="0"/>
        </w:trPr>
        <w:tc>
          <w:tcPr>
            <w:tcBorders>
              <w:top w:color="2f5496" w:space="0" w:sz="4" w:val="single"/>
              <w:left w:color="2f5496" w:space="0" w:sz="4" w:val="single"/>
              <w:bottom w:color="2f5496" w:space="0" w:sz="4" w:val="single"/>
              <w:right w:color="2f5496" w:space="0" w:sz="4" w:val="single"/>
            </w:tcBorders>
            <w:shd w:fill="2f5496" w:val="clear"/>
          </w:tcPr>
          <w:p w:rsidR="00000000" w:rsidDel="00000000" w:rsidP="00000000" w:rsidRDefault="00000000" w:rsidRPr="00000000" w14:paraId="0000000A">
            <w:pPr>
              <w:jc w:val="center"/>
              <w:rPr>
                <w:rFonts w:ascii="Open Sans" w:cs="Open Sans" w:eastAsia="Open Sans" w:hAnsi="Open Sans"/>
                <w:color w:val="ffffff"/>
              </w:rPr>
            </w:pPr>
            <w:r w:rsidDel="00000000" w:rsidR="00000000" w:rsidRPr="00000000">
              <w:rPr>
                <w:rtl w:val="0"/>
              </w:rPr>
            </w:r>
          </w:p>
          <w:p w:rsidR="00000000" w:rsidDel="00000000" w:rsidP="00000000" w:rsidRDefault="00000000" w:rsidRPr="00000000" w14:paraId="0000000B">
            <w:pPr>
              <w:jc w:val="center"/>
              <w:rPr>
                <w:rFonts w:ascii="Open Sans" w:cs="Open Sans" w:eastAsia="Open Sans" w:hAnsi="Open Sans"/>
                <w:b w:val="1"/>
                <w:color w:val="ffffff"/>
                <w:sz w:val="28"/>
                <w:szCs w:val="28"/>
              </w:rPr>
            </w:pPr>
            <w:r w:rsidDel="00000000" w:rsidR="00000000" w:rsidRPr="00000000">
              <w:rPr>
                <w:rFonts w:ascii="Open Sans" w:cs="Open Sans" w:eastAsia="Open Sans" w:hAnsi="Open Sans"/>
                <w:b w:val="1"/>
                <w:color w:val="ffffff"/>
                <w:sz w:val="28"/>
                <w:szCs w:val="28"/>
                <w:rtl w:val="0"/>
              </w:rPr>
              <w:t xml:space="preserve">Renovación del Sello Internacional de Calidad del</w:t>
            </w:r>
          </w:p>
          <w:p w:rsidR="00000000" w:rsidDel="00000000" w:rsidP="00000000" w:rsidRDefault="00000000" w:rsidRPr="00000000" w14:paraId="0000000C">
            <w:pPr>
              <w:jc w:val="center"/>
              <w:rPr>
                <w:rFonts w:ascii="Open Sans" w:cs="Open Sans" w:eastAsia="Open Sans" w:hAnsi="Open Sans"/>
                <w:b w:val="1"/>
                <w:color w:val="ffffff"/>
                <w:sz w:val="28"/>
                <w:szCs w:val="28"/>
              </w:rPr>
            </w:pPr>
            <w:r w:rsidDel="00000000" w:rsidR="00000000" w:rsidRPr="00000000">
              <w:rPr>
                <w:rtl w:val="0"/>
              </w:rPr>
            </w:r>
          </w:p>
          <w:p w:rsidR="00000000" w:rsidDel="00000000" w:rsidP="00000000" w:rsidRDefault="00000000" w:rsidRPr="00000000" w14:paraId="0000000D">
            <w:pPr>
              <w:jc w:val="center"/>
              <w:rPr>
                <w:rFonts w:ascii="Open Sans" w:cs="Open Sans" w:eastAsia="Open Sans" w:hAnsi="Open Sans"/>
                <w:b w:val="1"/>
                <w:color w:val="ffffff"/>
                <w:sz w:val="28"/>
                <w:szCs w:val="28"/>
              </w:rPr>
            </w:pPr>
            <w:r w:rsidDel="00000000" w:rsidR="00000000" w:rsidRPr="00000000">
              <w:rPr>
                <w:rFonts w:ascii="Open Sans" w:cs="Open Sans" w:eastAsia="Open Sans" w:hAnsi="Open Sans"/>
                <w:b w:val="1"/>
                <w:color w:val="ffffff"/>
                <w:sz w:val="28"/>
                <w:szCs w:val="28"/>
                <w:rtl w:val="0"/>
              </w:rPr>
              <w:t xml:space="preserve">Grado en Ingeniería Informática por la Universidad de Jaén</w:t>
            </w:r>
          </w:p>
          <w:p w:rsidR="00000000" w:rsidDel="00000000" w:rsidP="00000000" w:rsidRDefault="00000000" w:rsidRPr="00000000" w14:paraId="0000000E">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0F">
      <w:pPr>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spacing w:after="200" w:lineRule="auto"/>
        <w:jc w:val="both"/>
        <w:rPr>
          <w:sz w:val="40"/>
          <w:szCs w:val="40"/>
        </w:rPr>
      </w:pPr>
      <w:r w:rsidDel="00000000" w:rsidR="00000000" w:rsidRPr="00000000">
        <w:rPr>
          <w:sz w:val="40"/>
          <w:szCs w:val="40"/>
          <w:rtl w:val="0"/>
        </w:rPr>
        <w:t xml:space="preserve">Índice</w:t>
      </w:r>
    </w:p>
    <w:sdt>
      <w:sdtPr>
        <w:id w:val="-1579704711"/>
        <w:docPartObj>
          <w:docPartGallery w:val="Table of Contents"/>
          <w:docPartUnique w:val="1"/>
        </w:docPartObj>
      </w:sdtPr>
      <w:sdtContent>
        <w:p w:rsidR="00000000" w:rsidDel="00000000" w:rsidP="00000000" w:rsidRDefault="00000000" w:rsidRPr="00000000" w14:paraId="00000014">
          <w:pPr>
            <w:widowControl w:val="0"/>
            <w:tabs>
              <w:tab w:val="right" w:leader="dot" w:pos="1200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kan92hse05uj">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1. Acciones de difusión</w:t>
              <w:tab/>
              <w:t xml:space="preserve">1</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rPr>
              <w:b w:val="1"/>
              <w:color w:val="000000"/>
              <w:u w:val="none"/>
            </w:rPr>
          </w:pPr>
          <w:hyperlink w:anchor="_lvekgtkjc1d4">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2. Impacto</w:t>
              <w:tab/>
              <w:t xml:space="preserve">3</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color w:val="000000"/>
              <w:u w:val="none"/>
            </w:rPr>
          </w:pPr>
          <w:hyperlink w:anchor="_mpupm8tgzy4h">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2.1. Acceso</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color w:val="000000"/>
              <w:u w:val="none"/>
            </w:rPr>
          </w:pPr>
          <w:hyperlink w:anchor="_5dwzbdmtkici">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2.2. Estudiantado</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color w:val="000000"/>
              <w:u w:val="none"/>
            </w:rPr>
          </w:pPr>
          <w:hyperlink w:anchor="_y5zolp4papvv">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2.3. Empleabilidad</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1"/>
        <w:spacing w:after="200" w:lineRule="auto"/>
        <w:jc w:val="both"/>
        <w:rPr/>
      </w:pPr>
      <w:bookmarkStart w:colFirst="0" w:colLast="0" w:name="_gtwxsefmdagu" w:id="0"/>
      <w:bookmarkEnd w:id="0"/>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spacing w:after="200" w:lineRule="auto"/>
        <w:jc w:val="both"/>
        <w:rPr/>
      </w:pPr>
      <w:bookmarkStart w:colFirst="0" w:colLast="0" w:name="_kan92hse05uj" w:id="1"/>
      <w:bookmarkEnd w:id="1"/>
      <w:r w:rsidDel="00000000" w:rsidR="00000000" w:rsidRPr="00000000">
        <w:rPr>
          <w:rtl w:val="0"/>
        </w:rPr>
        <w:t xml:space="preserve">1. Acciones de difusión</w:t>
      </w:r>
      <w:r w:rsidDel="00000000" w:rsidR="00000000" w:rsidRPr="00000000">
        <w:rPr>
          <w:rtl w:val="0"/>
        </w:rPr>
      </w:r>
    </w:p>
    <w:p w:rsidR="00000000" w:rsidDel="00000000" w:rsidP="00000000" w:rsidRDefault="00000000" w:rsidRPr="00000000" w14:paraId="0000001C">
      <w:pPr>
        <w:spacing w:after="200" w:lineRule="auto"/>
        <w:jc w:val="both"/>
        <w:rPr/>
      </w:pPr>
      <w:r w:rsidDel="00000000" w:rsidR="00000000" w:rsidRPr="00000000">
        <w:rPr>
          <w:rtl w:val="0"/>
        </w:rPr>
        <w:t xml:space="preserve">Cuando en 2019 se concedió el sello Euro-Inf al grado en Ingeniería Informática, este acontecimiento se difundió a nivel local y nacional, orientando la noticia a distintos sectores.</w:t>
      </w:r>
    </w:p>
    <w:p w:rsidR="00000000" w:rsidDel="00000000" w:rsidP="00000000" w:rsidRDefault="00000000" w:rsidRPr="00000000" w14:paraId="0000001D">
      <w:pPr>
        <w:spacing w:after="200" w:lineRule="auto"/>
        <w:jc w:val="both"/>
        <w:rPr/>
      </w:pPr>
      <w:r w:rsidDel="00000000" w:rsidR="00000000" w:rsidRPr="00000000">
        <w:rPr>
          <w:rtl w:val="0"/>
        </w:rPr>
        <w:t xml:space="preserve">Para informar al </w:t>
      </w:r>
      <w:r w:rsidDel="00000000" w:rsidR="00000000" w:rsidRPr="00000000">
        <w:rPr>
          <w:b w:val="1"/>
          <w:rtl w:val="0"/>
        </w:rPr>
        <w:t xml:space="preserve">estudiantado</w:t>
      </w:r>
      <w:r w:rsidDel="00000000" w:rsidR="00000000" w:rsidRPr="00000000">
        <w:rPr>
          <w:rtl w:val="0"/>
        </w:rPr>
        <w:t xml:space="preserve">, se incluyó información sobre el sello tanto en el espacio dedicado al título en la web de la Escuela Politécnica Superior de Jaén (EPSJ) como en el portal de estudios de la Universidad de Jaén (UJA).</w:t>
      </w:r>
    </w:p>
    <w:p w:rsidR="00000000" w:rsidDel="00000000" w:rsidP="00000000" w:rsidRDefault="00000000" w:rsidRPr="00000000" w14:paraId="0000001E">
      <w:pPr>
        <w:spacing w:after="200" w:lineRule="auto"/>
        <w:jc w:val="both"/>
        <w:rPr/>
      </w:pPr>
      <w:r w:rsidDel="00000000" w:rsidR="00000000" w:rsidRPr="00000000">
        <w:rPr>
          <w:rtl w:val="0"/>
        </w:rPr>
        <w:t xml:space="preserve">Para informar a </w:t>
      </w:r>
      <w:r w:rsidDel="00000000" w:rsidR="00000000" w:rsidRPr="00000000">
        <w:rPr>
          <w:b w:val="1"/>
          <w:rtl w:val="0"/>
        </w:rPr>
        <w:t xml:space="preserve">personas interesadas</w:t>
      </w:r>
      <w:r w:rsidDel="00000000" w:rsidR="00000000" w:rsidRPr="00000000">
        <w:rPr>
          <w:rtl w:val="0"/>
        </w:rPr>
        <w:t xml:space="preserve"> en cursar el grado, se incluyó información en los dípticos que se entregan en eventos de difusión como los “Encuentros UJA” (orientados a estudiantes de Bachillerato y FP).</w:t>
      </w:r>
    </w:p>
    <w:p w:rsidR="00000000" w:rsidDel="00000000" w:rsidP="00000000" w:rsidRDefault="00000000" w:rsidRPr="00000000" w14:paraId="0000001F">
      <w:pPr>
        <w:spacing w:after="200" w:lineRule="auto"/>
        <w:jc w:val="both"/>
        <w:rPr/>
      </w:pPr>
      <w:r w:rsidDel="00000000" w:rsidR="00000000" w:rsidRPr="00000000">
        <w:rPr>
          <w:rtl w:val="0"/>
        </w:rPr>
        <w:t xml:space="preserve">Así mismo, se publicó la noticia en el espacio de noticias de la web de la EPSJ, y en redes sociales (Facebook y LinkedIn).</w:t>
      </w:r>
    </w:p>
    <w:p w:rsidR="00000000" w:rsidDel="00000000" w:rsidP="00000000" w:rsidRDefault="00000000" w:rsidRPr="00000000" w14:paraId="00000020">
      <w:pPr>
        <w:spacing w:after="200" w:lineRule="auto"/>
        <w:jc w:val="both"/>
        <w:rPr/>
      </w:pPr>
      <w:r w:rsidDel="00000000" w:rsidR="00000000" w:rsidRPr="00000000">
        <w:rPr>
          <w:rtl w:val="0"/>
        </w:rPr>
        <w:t xml:space="preserve">Para informar a la </w:t>
      </w:r>
      <w:r w:rsidDel="00000000" w:rsidR="00000000" w:rsidRPr="00000000">
        <w:rPr>
          <w:b w:val="1"/>
          <w:rtl w:val="0"/>
        </w:rPr>
        <w:t xml:space="preserve">sociedad</w:t>
      </w:r>
      <w:r w:rsidDel="00000000" w:rsidR="00000000" w:rsidRPr="00000000">
        <w:rPr>
          <w:rtl w:val="0"/>
        </w:rPr>
        <w:t xml:space="preserve">, se publicó la noticia en el “Diario Digital” de la UJA, y también se hizo una nota de prensa que se difundió a agencias como Europa Press.</w:t>
      </w:r>
    </w:p>
    <w:p w:rsidR="00000000" w:rsidDel="00000000" w:rsidP="00000000" w:rsidRDefault="00000000" w:rsidRPr="00000000" w14:paraId="00000021">
      <w:pPr>
        <w:spacing w:after="200" w:lineRule="auto"/>
        <w:jc w:val="both"/>
        <w:rPr/>
      </w:pPr>
      <w:r w:rsidDel="00000000" w:rsidR="00000000" w:rsidRPr="00000000">
        <w:rPr>
          <w:rtl w:val="0"/>
        </w:rPr>
        <w:t xml:space="preserve">Como evidencias, se aportan las siguientes:</w:t>
      </w:r>
    </w:p>
    <w:p w:rsidR="00000000" w:rsidDel="00000000" w:rsidP="00000000" w:rsidRDefault="00000000" w:rsidRPr="00000000" w14:paraId="00000022">
      <w:pPr>
        <w:numPr>
          <w:ilvl w:val="0"/>
          <w:numId w:val="7"/>
        </w:numPr>
        <w:ind w:left="720" w:hanging="360"/>
        <w:rPr>
          <w:u w:val="none"/>
        </w:rPr>
      </w:pPr>
      <w:r w:rsidDel="00000000" w:rsidR="00000000" w:rsidRPr="00000000">
        <w:rPr>
          <w:rtl w:val="0"/>
        </w:rPr>
        <w:t xml:space="preserve">Publicaciones en diferentes secciones de la web de la UJA:</w:t>
      </w:r>
    </w:p>
    <w:p w:rsidR="00000000" w:rsidDel="00000000" w:rsidP="00000000" w:rsidRDefault="00000000" w:rsidRPr="00000000" w14:paraId="00000023">
      <w:pPr>
        <w:numPr>
          <w:ilvl w:val="1"/>
          <w:numId w:val="7"/>
        </w:numPr>
        <w:ind w:left="1440" w:hanging="360"/>
        <w:rPr>
          <w:u w:val="none"/>
        </w:rPr>
      </w:pPr>
      <w:r w:rsidDel="00000000" w:rsidR="00000000" w:rsidRPr="00000000">
        <w:rPr>
          <w:rtl w:val="0"/>
        </w:rPr>
        <w:t xml:space="preserve">Noticia en Diario Digital UJA:</w:t>
      </w:r>
    </w:p>
    <w:p w:rsidR="00000000" w:rsidDel="00000000" w:rsidP="00000000" w:rsidRDefault="00000000" w:rsidRPr="00000000" w14:paraId="00000024">
      <w:pPr>
        <w:spacing w:after="200" w:lineRule="auto"/>
        <w:ind w:left="1440" w:firstLine="0"/>
        <w:rPr/>
      </w:pPr>
      <w:hyperlink r:id="rId7">
        <w:r w:rsidDel="00000000" w:rsidR="00000000" w:rsidRPr="00000000">
          <w:rPr>
            <w:color w:val="1155cc"/>
            <w:u w:val="single"/>
            <w:rtl w:val="0"/>
          </w:rPr>
          <w:t xml:space="preserve">https://diariodigital.ujaen.es/institucional/el-grado-en-ingenieria-informatica-de-la-escuela-politecnica-superior-de-jaen-obtiene</w:t>
        </w:r>
      </w:hyperlink>
      <w:r w:rsidDel="00000000" w:rsidR="00000000" w:rsidRPr="00000000">
        <w:rPr>
          <w:rtl w:val="0"/>
        </w:rPr>
      </w:r>
    </w:p>
    <w:p w:rsidR="00000000" w:rsidDel="00000000" w:rsidP="00000000" w:rsidRDefault="00000000" w:rsidRPr="00000000" w14:paraId="00000025">
      <w:pPr>
        <w:numPr>
          <w:ilvl w:val="1"/>
          <w:numId w:val="2"/>
        </w:numPr>
        <w:ind w:left="1440" w:hanging="360"/>
        <w:rPr>
          <w:u w:val="none"/>
        </w:rPr>
      </w:pPr>
      <w:r w:rsidDel="00000000" w:rsidR="00000000" w:rsidRPr="00000000">
        <w:rPr>
          <w:rtl w:val="0"/>
        </w:rPr>
        <w:t xml:space="preserve">Departamento de Informática de la UJA:</w:t>
      </w:r>
    </w:p>
    <w:p w:rsidR="00000000" w:rsidDel="00000000" w:rsidP="00000000" w:rsidRDefault="00000000" w:rsidRPr="00000000" w14:paraId="00000026">
      <w:pPr>
        <w:spacing w:after="200" w:lineRule="auto"/>
        <w:ind w:left="1440" w:firstLine="0"/>
        <w:rPr/>
      </w:pPr>
      <w:hyperlink r:id="rId8">
        <w:r w:rsidDel="00000000" w:rsidR="00000000" w:rsidRPr="00000000">
          <w:rPr>
            <w:color w:val="1155cc"/>
            <w:u w:val="single"/>
            <w:rtl w:val="0"/>
          </w:rPr>
          <w:t xml:space="preserve">https://www.ujaen.es/departamentos/dinformatica/noticias/el-grado-en-ingenieria-informatica-obtiene-el-sello-europeo-de-calidad-euro-inf</w:t>
        </w:r>
      </w:hyperlink>
      <w:r w:rsidDel="00000000" w:rsidR="00000000" w:rsidRPr="00000000">
        <w:rPr>
          <w:rtl w:val="0"/>
        </w:rPr>
      </w:r>
    </w:p>
    <w:p w:rsidR="00000000" w:rsidDel="00000000" w:rsidP="00000000" w:rsidRDefault="00000000" w:rsidRPr="00000000" w14:paraId="00000027">
      <w:pPr>
        <w:spacing w:after="200" w:lineRule="auto"/>
        <w:ind w:left="720" w:firstLine="720"/>
        <w:rPr/>
      </w:pPr>
      <w:hyperlink r:id="rId9">
        <w:r w:rsidDel="00000000" w:rsidR="00000000" w:rsidRPr="00000000">
          <w:rPr>
            <w:color w:val="1155cc"/>
            <w:u w:val="single"/>
            <w:rtl w:val="0"/>
          </w:rPr>
          <w:t xml:space="preserve">https://www.ujaen.es/departamentos/dinformatica/docencia</w:t>
        </w:r>
      </w:hyperlink>
      <w:r w:rsidDel="00000000" w:rsidR="00000000" w:rsidRPr="00000000">
        <w:rPr>
          <w:rtl w:val="0"/>
        </w:rPr>
      </w:r>
    </w:p>
    <w:p w:rsidR="00000000" w:rsidDel="00000000" w:rsidP="00000000" w:rsidRDefault="00000000" w:rsidRPr="00000000" w14:paraId="00000028">
      <w:pPr>
        <w:numPr>
          <w:ilvl w:val="1"/>
          <w:numId w:val="5"/>
        </w:numPr>
        <w:ind w:left="1440" w:hanging="360"/>
        <w:rPr>
          <w:u w:val="none"/>
        </w:rPr>
      </w:pPr>
      <w:r w:rsidDel="00000000" w:rsidR="00000000" w:rsidRPr="00000000">
        <w:rPr>
          <w:rtl w:val="0"/>
        </w:rPr>
        <w:t xml:space="preserve">Web de la EPSJ:</w:t>
      </w:r>
    </w:p>
    <w:p w:rsidR="00000000" w:rsidDel="00000000" w:rsidP="00000000" w:rsidRDefault="00000000" w:rsidRPr="00000000" w14:paraId="00000029">
      <w:pPr>
        <w:spacing w:after="200" w:lineRule="auto"/>
        <w:ind w:left="1440" w:firstLine="0"/>
        <w:rPr/>
      </w:pPr>
      <w:hyperlink r:id="rId10">
        <w:r w:rsidDel="00000000" w:rsidR="00000000" w:rsidRPr="00000000">
          <w:rPr>
            <w:color w:val="1155cc"/>
            <w:u w:val="single"/>
            <w:rtl w:val="0"/>
          </w:rPr>
          <w:t xml:space="preserve">https://eps.ujaen.es/noticias/obtencion-de-3-nuevos-sellos-de-calidad-internacional-eur-ace-y-euro-inf</w:t>
        </w:r>
      </w:hyperlink>
      <w:r w:rsidDel="00000000" w:rsidR="00000000" w:rsidRPr="00000000">
        <w:rPr>
          <w:rtl w:val="0"/>
        </w:rPr>
      </w:r>
    </w:p>
    <w:p w:rsidR="00000000" w:rsidDel="00000000" w:rsidP="00000000" w:rsidRDefault="00000000" w:rsidRPr="00000000" w14:paraId="0000002A">
      <w:pPr>
        <w:spacing w:after="200" w:lineRule="auto"/>
        <w:ind w:left="1440" w:firstLine="0"/>
        <w:rPr/>
      </w:pPr>
      <w:hyperlink r:id="rId11">
        <w:r w:rsidDel="00000000" w:rsidR="00000000" w:rsidRPr="00000000">
          <w:rPr>
            <w:color w:val="1155cc"/>
            <w:u w:val="single"/>
            <w:rtl w:val="0"/>
          </w:rPr>
          <w:t xml:space="preserve">https://eps.ujaen.es/grados/grado-en-ingenieria-informatica</w:t>
        </w:r>
      </w:hyperlink>
      <w:r w:rsidDel="00000000" w:rsidR="00000000" w:rsidRPr="00000000">
        <w:rPr>
          <w:rtl w:val="0"/>
        </w:rPr>
      </w:r>
    </w:p>
    <w:p w:rsidR="00000000" w:rsidDel="00000000" w:rsidP="00000000" w:rsidRDefault="00000000" w:rsidRPr="00000000" w14:paraId="0000002B">
      <w:pPr>
        <w:spacing w:after="200" w:lineRule="auto"/>
        <w:ind w:left="1440" w:firstLine="0"/>
        <w:rPr/>
      </w:pPr>
      <w:hyperlink r:id="rId12">
        <w:r w:rsidDel="00000000" w:rsidR="00000000" w:rsidRPr="00000000">
          <w:rPr>
            <w:color w:val="1155cc"/>
            <w:u w:val="single"/>
            <w:rtl w:val="0"/>
          </w:rPr>
          <w:t xml:space="preserve">https://eps.ujaen.es/sites/centro_eps/files/uploads/documents/grados/Ing%20Informatica/05%20-%20D%C3%ADptico%2015x21%20cm%20-%20Ingenier%C3%ADa%20Inform%C3%A1tica.pdf</w:t>
        </w:r>
      </w:hyperlink>
      <w:r w:rsidDel="00000000" w:rsidR="00000000" w:rsidRPr="00000000">
        <w:rPr>
          <w:rtl w:val="0"/>
        </w:rPr>
      </w:r>
    </w:p>
    <w:p w:rsidR="00000000" w:rsidDel="00000000" w:rsidP="00000000" w:rsidRDefault="00000000" w:rsidRPr="00000000" w14:paraId="0000002C">
      <w:pPr>
        <w:numPr>
          <w:ilvl w:val="1"/>
          <w:numId w:val="1"/>
        </w:numPr>
        <w:ind w:left="1440" w:hanging="360"/>
        <w:rPr>
          <w:u w:val="none"/>
        </w:rPr>
      </w:pPr>
      <w:r w:rsidDel="00000000" w:rsidR="00000000" w:rsidRPr="00000000">
        <w:rPr>
          <w:rtl w:val="0"/>
        </w:rPr>
        <w:t xml:space="preserve">Portal de estudios UJA:</w:t>
      </w:r>
    </w:p>
    <w:p w:rsidR="00000000" w:rsidDel="00000000" w:rsidP="00000000" w:rsidRDefault="00000000" w:rsidRPr="00000000" w14:paraId="0000002D">
      <w:pPr>
        <w:spacing w:after="200" w:lineRule="auto"/>
        <w:ind w:left="1440" w:firstLine="0"/>
        <w:rPr/>
      </w:pPr>
      <w:hyperlink r:id="rId13">
        <w:r w:rsidDel="00000000" w:rsidR="00000000" w:rsidRPr="00000000">
          <w:rPr>
            <w:color w:val="1155cc"/>
            <w:u w:val="single"/>
            <w:rtl w:val="0"/>
          </w:rPr>
          <w:t xml:space="preserve">https://www.ujaen.es/estudios/oferta-academica/grados/grado-en-ingenieria-informatica-eps-jaen</w:t>
        </w:r>
      </w:hyperlink>
      <w:r w:rsidDel="00000000" w:rsidR="00000000" w:rsidRPr="00000000">
        <w:rPr>
          <w:rtl w:val="0"/>
        </w:rPr>
      </w:r>
    </w:p>
    <w:p w:rsidR="00000000" w:rsidDel="00000000" w:rsidP="00000000" w:rsidRDefault="00000000" w:rsidRPr="00000000" w14:paraId="0000002E">
      <w:pPr>
        <w:numPr>
          <w:ilvl w:val="0"/>
          <w:numId w:val="12"/>
        </w:numPr>
        <w:ind w:left="720" w:hanging="360"/>
        <w:rPr>
          <w:u w:val="none"/>
        </w:rPr>
      </w:pPr>
      <w:r w:rsidDel="00000000" w:rsidR="00000000" w:rsidRPr="00000000">
        <w:rPr>
          <w:rtl w:val="0"/>
        </w:rPr>
        <w:t xml:space="preserve">Publicaciones en medios de comunicación especializados:</w:t>
      </w:r>
    </w:p>
    <w:p w:rsidR="00000000" w:rsidDel="00000000" w:rsidP="00000000" w:rsidRDefault="00000000" w:rsidRPr="00000000" w14:paraId="0000002F">
      <w:pPr>
        <w:numPr>
          <w:ilvl w:val="1"/>
          <w:numId w:val="12"/>
        </w:numPr>
        <w:ind w:left="1440" w:hanging="360"/>
        <w:rPr>
          <w:u w:val="none"/>
        </w:rPr>
      </w:pPr>
      <w:r w:rsidDel="00000000" w:rsidR="00000000" w:rsidRPr="00000000">
        <w:rPr>
          <w:rtl w:val="0"/>
        </w:rPr>
        <w:t xml:space="preserve">Noticia en Nova Ciencia (ámbito internacional):</w:t>
      </w:r>
    </w:p>
    <w:p w:rsidR="00000000" w:rsidDel="00000000" w:rsidP="00000000" w:rsidRDefault="00000000" w:rsidRPr="00000000" w14:paraId="00000030">
      <w:pPr>
        <w:spacing w:after="200" w:lineRule="auto"/>
        <w:ind w:left="1440" w:firstLine="0"/>
        <w:rPr/>
      </w:pPr>
      <w:hyperlink r:id="rId14">
        <w:r w:rsidDel="00000000" w:rsidR="00000000" w:rsidRPr="00000000">
          <w:rPr>
            <w:color w:val="1155cc"/>
            <w:u w:val="single"/>
            <w:rtl w:val="0"/>
          </w:rPr>
          <w:t xml:space="preserve">https://novaciencia.es/sello-de-excelencia-para-el-grado-de-ingenieria-informatica-de-la-uja/</w:t>
        </w:r>
      </w:hyperlink>
      <w:r w:rsidDel="00000000" w:rsidR="00000000" w:rsidRPr="00000000">
        <w:rPr>
          <w:rtl w:val="0"/>
        </w:rPr>
      </w:r>
    </w:p>
    <w:p w:rsidR="00000000" w:rsidDel="00000000" w:rsidP="00000000" w:rsidRDefault="00000000" w:rsidRPr="00000000" w14:paraId="00000031">
      <w:pPr>
        <w:numPr>
          <w:ilvl w:val="1"/>
          <w:numId w:val="3"/>
        </w:numPr>
        <w:ind w:left="1440" w:hanging="360"/>
        <w:rPr>
          <w:u w:val="none"/>
        </w:rPr>
      </w:pPr>
      <w:r w:rsidDel="00000000" w:rsidR="00000000" w:rsidRPr="00000000">
        <w:rPr>
          <w:rtl w:val="0"/>
        </w:rPr>
        <w:t xml:space="preserve">Noticia en Aula Magna (ámbito nacional):</w:t>
      </w:r>
    </w:p>
    <w:p w:rsidR="00000000" w:rsidDel="00000000" w:rsidP="00000000" w:rsidRDefault="00000000" w:rsidRPr="00000000" w14:paraId="00000032">
      <w:pPr>
        <w:spacing w:after="200" w:lineRule="auto"/>
        <w:ind w:left="1440" w:firstLine="0"/>
        <w:rPr/>
      </w:pPr>
      <w:hyperlink r:id="rId15">
        <w:r w:rsidDel="00000000" w:rsidR="00000000" w:rsidRPr="00000000">
          <w:rPr>
            <w:color w:val="1155cc"/>
            <w:u w:val="single"/>
            <w:rtl w:val="0"/>
          </w:rPr>
          <w:t xml:space="preserve">https://www.aulamagna.com.es/la-ingenieria-informatica-de-la-uja-un-referente-europeo-universitario/</w:t>
        </w:r>
      </w:hyperlink>
      <w:r w:rsidDel="00000000" w:rsidR="00000000" w:rsidRPr="00000000">
        <w:rPr>
          <w:rtl w:val="0"/>
        </w:rPr>
      </w:r>
    </w:p>
    <w:p w:rsidR="00000000" w:rsidDel="00000000" w:rsidP="00000000" w:rsidRDefault="00000000" w:rsidRPr="00000000" w14:paraId="00000033">
      <w:pPr>
        <w:numPr>
          <w:ilvl w:val="0"/>
          <w:numId w:val="8"/>
        </w:numPr>
        <w:ind w:left="720" w:hanging="360"/>
        <w:rPr>
          <w:u w:val="none"/>
        </w:rPr>
      </w:pPr>
      <w:r w:rsidDel="00000000" w:rsidR="00000000" w:rsidRPr="00000000">
        <w:rPr>
          <w:rtl w:val="0"/>
        </w:rPr>
        <w:t xml:space="preserve">Publicaciones en medios locales:</w:t>
      </w:r>
    </w:p>
    <w:p w:rsidR="00000000" w:rsidDel="00000000" w:rsidP="00000000" w:rsidRDefault="00000000" w:rsidRPr="00000000" w14:paraId="00000034">
      <w:pPr>
        <w:numPr>
          <w:ilvl w:val="1"/>
          <w:numId w:val="8"/>
        </w:numPr>
        <w:ind w:left="1440" w:hanging="360"/>
        <w:rPr>
          <w:u w:val="none"/>
        </w:rPr>
      </w:pPr>
      <w:r w:rsidDel="00000000" w:rsidR="00000000" w:rsidRPr="00000000">
        <w:rPr>
          <w:rtl w:val="0"/>
        </w:rPr>
        <w:t xml:space="preserve">Diario Jaén:</w:t>
      </w:r>
    </w:p>
    <w:p w:rsidR="00000000" w:rsidDel="00000000" w:rsidP="00000000" w:rsidRDefault="00000000" w:rsidRPr="00000000" w14:paraId="00000035">
      <w:pPr>
        <w:spacing w:after="200" w:lineRule="auto"/>
        <w:ind w:left="1440" w:firstLine="0"/>
        <w:rPr/>
      </w:pPr>
      <w:hyperlink r:id="rId16">
        <w:r w:rsidDel="00000000" w:rsidR="00000000" w:rsidRPr="00000000">
          <w:rPr>
            <w:color w:val="1155cc"/>
            <w:u w:val="single"/>
            <w:rtl w:val="0"/>
          </w:rPr>
          <w:t xml:space="preserve">https://www.diariojaen.es/jaen/sello-de-calidad-al-grado-en-ingenieria-informatica-AE5215453</w:t>
        </w:r>
      </w:hyperlink>
      <w:r w:rsidDel="00000000" w:rsidR="00000000" w:rsidRPr="00000000">
        <w:rPr>
          <w:rtl w:val="0"/>
        </w:rPr>
      </w:r>
    </w:p>
    <w:p w:rsidR="00000000" w:rsidDel="00000000" w:rsidP="00000000" w:rsidRDefault="00000000" w:rsidRPr="00000000" w14:paraId="00000036">
      <w:pPr>
        <w:numPr>
          <w:ilvl w:val="1"/>
          <w:numId w:val="6"/>
        </w:numPr>
        <w:ind w:left="1440" w:hanging="360"/>
        <w:rPr>
          <w:u w:val="none"/>
        </w:rPr>
      </w:pPr>
      <w:r w:rsidDel="00000000" w:rsidR="00000000" w:rsidRPr="00000000">
        <w:rPr>
          <w:rtl w:val="0"/>
        </w:rPr>
        <w:t xml:space="preserve">Noticia en Viva Jaén:</w:t>
      </w:r>
    </w:p>
    <w:p w:rsidR="00000000" w:rsidDel="00000000" w:rsidP="00000000" w:rsidRDefault="00000000" w:rsidRPr="00000000" w14:paraId="00000037">
      <w:pPr>
        <w:spacing w:after="200" w:lineRule="auto"/>
        <w:ind w:left="1440" w:firstLine="0"/>
        <w:rPr/>
      </w:pPr>
      <w:hyperlink r:id="rId17">
        <w:r w:rsidDel="00000000" w:rsidR="00000000" w:rsidRPr="00000000">
          <w:rPr>
            <w:color w:val="1155cc"/>
            <w:u w:val="single"/>
            <w:rtl w:val="0"/>
          </w:rPr>
          <w:t xml:space="preserve">https://www.andaluciainformacion.es/articulo/jaen/ingenieria-informatica-de-la-uja-recibe-un-sello-europeo-de-calidad/201902201230112124338.html</w:t>
        </w:r>
      </w:hyperlink>
      <w:r w:rsidDel="00000000" w:rsidR="00000000" w:rsidRPr="00000000">
        <w:rPr>
          <w:rtl w:val="0"/>
        </w:rPr>
      </w:r>
    </w:p>
    <w:p w:rsidR="00000000" w:rsidDel="00000000" w:rsidP="00000000" w:rsidRDefault="00000000" w:rsidRPr="00000000" w14:paraId="00000038">
      <w:pPr>
        <w:numPr>
          <w:ilvl w:val="1"/>
          <w:numId w:val="11"/>
        </w:numPr>
        <w:ind w:left="1440" w:hanging="360"/>
        <w:rPr>
          <w:u w:val="none"/>
        </w:rPr>
      </w:pPr>
      <w:r w:rsidDel="00000000" w:rsidR="00000000" w:rsidRPr="00000000">
        <w:rPr>
          <w:rtl w:val="0"/>
        </w:rPr>
        <w:t xml:space="preserve">Especial en Extra Jaén:</w:t>
      </w:r>
    </w:p>
    <w:p w:rsidR="00000000" w:rsidDel="00000000" w:rsidP="00000000" w:rsidRDefault="00000000" w:rsidRPr="00000000" w14:paraId="00000039">
      <w:pPr>
        <w:spacing w:after="200" w:lineRule="auto"/>
        <w:ind w:left="1440" w:firstLine="0"/>
        <w:rPr/>
      </w:pPr>
      <w:hyperlink r:id="rId18">
        <w:r w:rsidDel="00000000" w:rsidR="00000000" w:rsidRPr="00000000">
          <w:rPr>
            <w:color w:val="1155cc"/>
            <w:u w:val="single"/>
            <w:rtl w:val="0"/>
          </w:rPr>
          <w:t xml:space="preserve">https://extrajaen.com/especiales/universidad-de-jaen-grandes-opciones-para-el-futuro</w:t>
        </w:r>
      </w:hyperlink>
      <w:r w:rsidDel="00000000" w:rsidR="00000000" w:rsidRPr="00000000">
        <w:rPr>
          <w:rtl w:val="0"/>
        </w:rPr>
      </w:r>
    </w:p>
    <w:p w:rsidR="00000000" w:rsidDel="00000000" w:rsidP="00000000" w:rsidRDefault="00000000" w:rsidRPr="00000000" w14:paraId="0000003A">
      <w:pPr>
        <w:numPr>
          <w:ilvl w:val="1"/>
          <w:numId w:val="15"/>
        </w:numPr>
        <w:ind w:left="1440" w:hanging="360"/>
        <w:rPr>
          <w:u w:val="none"/>
        </w:rPr>
      </w:pPr>
      <w:r w:rsidDel="00000000" w:rsidR="00000000" w:rsidRPr="00000000">
        <w:rPr>
          <w:rtl w:val="0"/>
        </w:rPr>
        <w:t xml:space="preserve">Noticia en Info Linares:</w:t>
      </w:r>
    </w:p>
    <w:p w:rsidR="00000000" w:rsidDel="00000000" w:rsidP="00000000" w:rsidRDefault="00000000" w:rsidRPr="00000000" w14:paraId="0000003B">
      <w:pPr>
        <w:spacing w:after="200" w:lineRule="auto"/>
        <w:ind w:left="1440" w:firstLine="0"/>
        <w:rPr/>
      </w:pPr>
      <w:hyperlink r:id="rId19">
        <w:r w:rsidDel="00000000" w:rsidR="00000000" w:rsidRPr="00000000">
          <w:rPr>
            <w:color w:val="1155cc"/>
            <w:u w:val="single"/>
            <w:rtl w:val="0"/>
          </w:rPr>
          <w:t xml:space="preserve">https://www.infolinares.com/eps-linares-eps-jaen-obtienen-sellos-internacionales-calidad-titulaciones-grado-master/</w:t>
        </w:r>
      </w:hyperlink>
      <w:r w:rsidDel="00000000" w:rsidR="00000000" w:rsidRPr="00000000">
        <w:rPr>
          <w:rtl w:val="0"/>
        </w:rPr>
      </w:r>
    </w:p>
    <w:p w:rsidR="00000000" w:rsidDel="00000000" w:rsidP="00000000" w:rsidRDefault="00000000" w:rsidRPr="00000000" w14:paraId="0000003C">
      <w:pPr>
        <w:numPr>
          <w:ilvl w:val="1"/>
          <w:numId w:val="9"/>
        </w:numPr>
        <w:ind w:left="1440" w:hanging="360"/>
        <w:rPr>
          <w:u w:val="none"/>
        </w:rPr>
      </w:pPr>
      <w:r w:rsidDel="00000000" w:rsidR="00000000" w:rsidRPr="00000000">
        <w:rPr>
          <w:rtl w:val="0"/>
        </w:rPr>
        <w:t xml:space="preserve">Noticia en Onda Cero Jaén:</w:t>
      </w:r>
    </w:p>
    <w:p w:rsidR="00000000" w:rsidDel="00000000" w:rsidP="00000000" w:rsidRDefault="00000000" w:rsidRPr="00000000" w14:paraId="0000003D">
      <w:pPr>
        <w:ind w:left="1440" w:firstLine="0"/>
        <w:rPr/>
      </w:pPr>
      <w:hyperlink r:id="rId20">
        <w:r w:rsidDel="00000000" w:rsidR="00000000" w:rsidRPr="00000000">
          <w:rPr>
            <w:color w:val="1155cc"/>
            <w:u w:val="single"/>
            <w:rtl w:val="0"/>
          </w:rPr>
          <w:t xml:space="preserve">https://www.ondacerojaen.es/inicio/la-eps-de-linares-y-la-eps-de-jaen-obtienen-los-sellos-internacionales-de-calidad-eur-ace-y-euro-inf-para-titulaciones-de-grado-y-master</w:t>
        </w:r>
      </w:hyperlink>
      <w:r w:rsidDel="00000000" w:rsidR="00000000" w:rsidRPr="00000000">
        <w:rPr>
          <w:rtl w:val="0"/>
        </w:rPr>
      </w:r>
    </w:p>
    <w:p w:rsidR="00000000" w:rsidDel="00000000" w:rsidP="00000000" w:rsidRDefault="00000000" w:rsidRPr="00000000" w14:paraId="0000003E">
      <w:pPr>
        <w:numPr>
          <w:ilvl w:val="0"/>
          <w:numId w:val="10"/>
        </w:numPr>
        <w:ind w:left="720" w:hanging="360"/>
        <w:rPr>
          <w:u w:val="none"/>
        </w:rPr>
      </w:pPr>
      <w:r w:rsidDel="00000000" w:rsidR="00000000" w:rsidRPr="00000000">
        <w:rPr>
          <w:rtl w:val="0"/>
        </w:rPr>
        <w:t xml:space="preserve">Publicaciones en medios nacionales:</w:t>
      </w:r>
    </w:p>
    <w:p w:rsidR="00000000" w:rsidDel="00000000" w:rsidP="00000000" w:rsidRDefault="00000000" w:rsidRPr="00000000" w14:paraId="0000003F">
      <w:pPr>
        <w:numPr>
          <w:ilvl w:val="1"/>
          <w:numId w:val="10"/>
        </w:numPr>
        <w:ind w:left="1440" w:hanging="360"/>
        <w:rPr>
          <w:u w:val="none"/>
        </w:rPr>
      </w:pPr>
      <w:r w:rsidDel="00000000" w:rsidR="00000000" w:rsidRPr="00000000">
        <w:rPr>
          <w:rtl w:val="0"/>
        </w:rPr>
        <w:t xml:space="preserve">Noticia en 20 minutos:</w:t>
      </w:r>
    </w:p>
    <w:p w:rsidR="00000000" w:rsidDel="00000000" w:rsidP="00000000" w:rsidRDefault="00000000" w:rsidRPr="00000000" w14:paraId="00000040">
      <w:pPr>
        <w:spacing w:after="200" w:lineRule="auto"/>
        <w:ind w:left="1440" w:firstLine="0"/>
        <w:rPr/>
      </w:pPr>
      <w:hyperlink r:id="rId21">
        <w:r w:rsidDel="00000000" w:rsidR="00000000" w:rsidRPr="00000000">
          <w:rPr>
            <w:color w:val="1155cc"/>
            <w:u w:val="single"/>
            <w:rtl w:val="0"/>
          </w:rPr>
          <w:t xml:space="preserve">https://www.20minutos.es/noticia/3567788/0/grado-ingenieria-informatica-uja-recibe-sello-europeo-excelencia/</w:t>
        </w:r>
      </w:hyperlink>
      <w:r w:rsidDel="00000000" w:rsidR="00000000" w:rsidRPr="00000000">
        <w:rPr>
          <w:rtl w:val="0"/>
        </w:rPr>
      </w:r>
    </w:p>
    <w:p w:rsidR="00000000" w:rsidDel="00000000" w:rsidP="00000000" w:rsidRDefault="00000000" w:rsidRPr="00000000" w14:paraId="00000041">
      <w:pPr>
        <w:numPr>
          <w:ilvl w:val="1"/>
          <w:numId w:val="14"/>
        </w:numPr>
        <w:ind w:left="1440" w:hanging="360"/>
        <w:rPr>
          <w:u w:val="none"/>
        </w:rPr>
      </w:pPr>
      <w:r w:rsidDel="00000000" w:rsidR="00000000" w:rsidRPr="00000000">
        <w:rPr>
          <w:rtl w:val="0"/>
        </w:rPr>
        <w:t xml:space="preserve">Noticia en Europa Press:</w:t>
      </w:r>
    </w:p>
    <w:p w:rsidR="00000000" w:rsidDel="00000000" w:rsidP="00000000" w:rsidRDefault="00000000" w:rsidRPr="00000000" w14:paraId="00000042">
      <w:pPr>
        <w:spacing w:after="200" w:lineRule="auto"/>
        <w:ind w:left="1440" w:firstLine="0"/>
        <w:rPr/>
      </w:pPr>
      <w:hyperlink r:id="rId22">
        <w:r w:rsidDel="00000000" w:rsidR="00000000" w:rsidRPr="00000000">
          <w:rPr>
            <w:color w:val="1155cc"/>
            <w:u w:val="single"/>
            <w:rtl w:val="0"/>
          </w:rPr>
          <w:t xml:space="preserve">https://www.europapress.es/andalucia/noticia-escuelas-politecnicas-superiores-universidad-jaen-obtienen-once-sellos-internacionales-calidad-aneca-20210712141518.html</w:t>
        </w:r>
      </w:hyperlink>
      <w:r w:rsidDel="00000000" w:rsidR="00000000" w:rsidRPr="00000000">
        <w:rPr>
          <w:rtl w:val="0"/>
        </w:rPr>
      </w:r>
    </w:p>
    <w:p w:rsidR="00000000" w:rsidDel="00000000" w:rsidP="00000000" w:rsidRDefault="00000000" w:rsidRPr="00000000" w14:paraId="00000043">
      <w:pPr>
        <w:numPr>
          <w:ilvl w:val="0"/>
          <w:numId w:val="13"/>
        </w:numPr>
        <w:ind w:left="720" w:hanging="360"/>
        <w:rPr>
          <w:u w:val="none"/>
        </w:rPr>
      </w:pPr>
      <w:r w:rsidDel="00000000" w:rsidR="00000000" w:rsidRPr="00000000">
        <w:rPr>
          <w:rtl w:val="0"/>
        </w:rPr>
        <w:t xml:space="preserve">Publicaciones en redes sociales:</w:t>
      </w:r>
    </w:p>
    <w:p w:rsidR="00000000" w:rsidDel="00000000" w:rsidP="00000000" w:rsidRDefault="00000000" w:rsidRPr="00000000" w14:paraId="00000044">
      <w:pPr>
        <w:numPr>
          <w:ilvl w:val="1"/>
          <w:numId w:val="13"/>
        </w:numPr>
        <w:ind w:left="1440" w:hanging="360"/>
        <w:rPr>
          <w:u w:val="none"/>
        </w:rPr>
      </w:pPr>
      <w:r w:rsidDel="00000000" w:rsidR="00000000" w:rsidRPr="00000000">
        <w:rPr>
          <w:rtl w:val="0"/>
        </w:rPr>
        <w:t xml:space="preserve">Noticia en LinkedIn:</w:t>
      </w:r>
    </w:p>
    <w:p w:rsidR="00000000" w:rsidDel="00000000" w:rsidP="00000000" w:rsidRDefault="00000000" w:rsidRPr="00000000" w14:paraId="00000045">
      <w:pPr>
        <w:spacing w:after="200" w:lineRule="auto"/>
        <w:ind w:left="1440" w:firstLine="0"/>
        <w:rPr/>
      </w:pPr>
      <w:hyperlink r:id="rId23">
        <w:r w:rsidDel="00000000" w:rsidR="00000000" w:rsidRPr="00000000">
          <w:rPr>
            <w:color w:val="1155cc"/>
            <w:u w:val="single"/>
            <w:rtl w:val="0"/>
          </w:rPr>
          <w:t xml:space="preserve">https://es.linkedin.com/posts/universidad-de-ja-n_el-grado-en-ingenier%C3%ADa-inform%C3%A1tica-de-la-activity-6503601099033972736-md-A</w:t>
        </w:r>
      </w:hyperlink>
      <w:r w:rsidDel="00000000" w:rsidR="00000000" w:rsidRPr="00000000">
        <w:rPr>
          <w:rtl w:val="0"/>
        </w:rPr>
      </w:r>
    </w:p>
    <w:p w:rsidR="00000000" w:rsidDel="00000000" w:rsidP="00000000" w:rsidRDefault="00000000" w:rsidRPr="00000000" w14:paraId="00000046">
      <w:pPr>
        <w:numPr>
          <w:ilvl w:val="1"/>
          <w:numId w:val="4"/>
        </w:numPr>
        <w:ind w:left="1440" w:hanging="360"/>
        <w:rPr>
          <w:u w:val="none"/>
        </w:rPr>
      </w:pPr>
      <w:r w:rsidDel="00000000" w:rsidR="00000000" w:rsidRPr="00000000">
        <w:rPr>
          <w:rtl w:val="0"/>
        </w:rPr>
        <w:t xml:space="preserve">Noticia en Facebook:</w:t>
      </w:r>
    </w:p>
    <w:p w:rsidR="00000000" w:rsidDel="00000000" w:rsidP="00000000" w:rsidRDefault="00000000" w:rsidRPr="00000000" w14:paraId="00000047">
      <w:pPr>
        <w:ind w:left="1440" w:firstLine="0"/>
        <w:rPr/>
      </w:pPr>
      <w:hyperlink r:id="rId24">
        <w:r w:rsidDel="00000000" w:rsidR="00000000" w:rsidRPr="00000000">
          <w:rPr>
            <w:color w:val="1155cc"/>
            <w:u w:val="single"/>
            <w:rtl w:val="0"/>
          </w:rPr>
          <w:t xml:space="preserve">https://www.facebook.com/share/p/1Ljs5mm7gU/</w:t>
        </w:r>
      </w:hyperlink>
      <w:r w:rsidDel="00000000" w:rsidR="00000000" w:rsidRPr="00000000">
        <w:rPr>
          <w:rtl w:val="0"/>
        </w:rPr>
      </w:r>
    </w:p>
    <w:p w:rsidR="00000000" w:rsidDel="00000000" w:rsidP="00000000" w:rsidRDefault="00000000" w:rsidRPr="00000000" w14:paraId="00000048">
      <w:pPr>
        <w:pStyle w:val="Heading1"/>
        <w:rPr/>
      </w:pPr>
      <w:bookmarkStart w:colFirst="0" w:colLast="0" w:name="_lvekgtkjc1d4" w:id="2"/>
      <w:bookmarkEnd w:id="2"/>
      <w:r w:rsidDel="00000000" w:rsidR="00000000" w:rsidRPr="00000000">
        <w:rPr>
          <w:rtl w:val="0"/>
        </w:rPr>
        <w:t xml:space="preserve">2. </w:t>
      </w:r>
      <w:r w:rsidDel="00000000" w:rsidR="00000000" w:rsidRPr="00000000">
        <w:rPr>
          <w:rtl w:val="0"/>
        </w:rPr>
        <w:t xml:space="preserve">Impacto</w:t>
      </w:r>
    </w:p>
    <w:p w:rsidR="00000000" w:rsidDel="00000000" w:rsidP="00000000" w:rsidRDefault="00000000" w:rsidRPr="00000000" w14:paraId="00000049">
      <w:pPr>
        <w:spacing w:after="200" w:lineRule="auto"/>
        <w:jc w:val="both"/>
        <w:rPr/>
      </w:pPr>
      <w:r w:rsidDel="00000000" w:rsidR="00000000" w:rsidRPr="00000000">
        <w:rPr>
          <w:rtl w:val="0"/>
        </w:rPr>
        <w:t xml:space="preserve">Recogemos a continuación información sobre el impacto que ha tenido la concesión del sello Euro-Inf al grado en Ingeniería Informática por la Universidad de Jaén.</w:t>
      </w:r>
    </w:p>
    <w:p w:rsidR="00000000" w:rsidDel="00000000" w:rsidP="00000000" w:rsidRDefault="00000000" w:rsidRPr="00000000" w14:paraId="0000004A">
      <w:pPr>
        <w:pStyle w:val="Heading2"/>
        <w:spacing w:after="200" w:lineRule="auto"/>
        <w:jc w:val="both"/>
        <w:rPr/>
      </w:pPr>
      <w:bookmarkStart w:colFirst="0" w:colLast="0" w:name="_mpupm8tgzy4h" w:id="3"/>
      <w:bookmarkEnd w:id="3"/>
      <w:r w:rsidDel="00000000" w:rsidR="00000000" w:rsidRPr="00000000">
        <w:rPr>
          <w:rtl w:val="0"/>
        </w:rPr>
        <w:t xml:space="preserve">2.1. Acceso</w:t>
      </w:r>
    </w:p>
    <w:p w:rsidR="00000000" w:rsidDel="00000000" w:rsidP="00000000" w:rsidRDefault="00000000" w:rsidRPr="00000000" w14:paraId="0000004B">
      <w:pPr>
        <w:spacing w:after="200" w:lineRule="auto"/>
        <w:jc w:val="both"/>
        <w:rPr/>
      </w:pPr>
      <w:r w:rsidDel="00000000" w:rsidR="00000000" w:rsidRPr="00000000">
        <w:rPr>
          <w:rtl w:val="0"/>
        </w:rPr>
        <w:t xml:space="preserve">El acceso a las universidades públicas de Andalucía está centralizado en el Distrito Único Andaluz, en cuya página web</w:t>
      </w:r>
      <w:r w:rsidDel="00000000" w:rsidR="00000000" w:rsidRPr="00000000">
        <w:rPr>
          <w:vertAlign w:val="superscript"/>
        </w:rPr>
        <w:footnoteReference w:customMarkFollows="0" w:id="0"/>
      </w:r>
      <w:r w:rsidDel="00000000" w:rsidR="00000000" w:rsidRPr="00000000">
        <w:rPr>
          <w:rtl w:val="0"/>
        </w:rPr>
        <w:t xml:space="preserve"> se pueden consultar las notas de corte de los distintos grados desde 2010. Concretamente, se recogen en la Tabla 1 las notas de corte del grado en Ingeniería Informática, junto con las notas de admisión y acceso, proporcionadas por el Servicio de Planificación y Evaluación de la Universidad de Jaén</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4C">
      <w:pPr>
        <w:spacing w:after="200" w:lineRule="auto"/>
        <w:jc w:val="both"/>
        <w:rPr/>
      </w:pPr>
      <w:r w:rsidDel="00000000" w:rsidR="00000000" w:rsidRPr="00000000">
        <w:rPr>
          <w:rtl w:val="0"/>
        </w:rPr>
        <w:t xml:space="preserve">Como se puede observar en la mencionada Tabla, las notas de corte empezaron a subir a partir de la fecha de obtención del sello Euro-Inf, con la única excepción del curso 2021-2022. Esta excepción posiblemente se puede achacar a las consecuencias que tuvo la pandemia de COVID-19 en la docencia y evaluación en los Institutos de Educación Secundaria en España. La nota media de admisión también tiene una tendencia ascendente, mientras que la de acceso se mantiene relativamente estable, por encima del 7.</w:t>
      </w:r>
    </w:p>
    <w:tbl>
      <w:tblPr>
        <w:tblStyle w:val="Table2"/>
        <w:tblW w:w="5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1725"/>
        <w:gridCol w:w="1725"/>
        <w:gridCol w:w="1725"/>
        <w:tblGridChange w:id="0">
          <w:tblGrid>
            <w:gridCol w:w="810"/>
            <w:gridCol w:w="1725"/>
            <w:gridCol w:w="1725"/>
            <w:gridCol w:w="1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Año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Nota de corte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Nota media de admisión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Nota media de acceso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pPr>
            <w:r w:rsidDel="00000000" w:rsidR="00000000" w:rsidRPr="00000000">
              <w:rPr>
                <w:rtl w:val="0"/>
              </w:rPr>
              <w:t xml:space="preserve">No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pPr>
            <w:r w:rsidDel="00000000" w:rsidR="00000000" w:rsidRPr="00000000">
              <w:rPr>
                <w:rtl w:val="0"/>
              </w:rPr>
              <w:t xml:space="preserve">No disponible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7.65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6.86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6.92</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5.978</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8.42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7.11</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2020</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6.959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9.44</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7.57</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9.21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7.48</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7.715</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9.99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7.73</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2023</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7.816</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10.19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7.84</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2024</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7.131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10.16</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7.66</w:t>
            </w:r>
          </w:p>
        </w:tc>
      </w:tr>
    </w:tbl>
    <w:p w:rsidR="00000000" w:rsidDel="00000000" w:rsidP="00000000" w:rsidRDefault="00000000" w:rsidRPr="00000000" w14:paraId="0000008D">
      <w:pPr>
        <w:spacing w:after="200" w:before="200" w:lineRule="auto"/>
        <w:jc w:val="center"/>
        <w:rPr>
          <w:i w:val="1"/>
        </w:rPr>
      </w:pPr>
      <w:r w:rsidDel="00000000" w:rsidR="00000000" w:rsidRPr="00000000">
        <w:rPr>
          <w:i w:val="1"/>
          <w:rtl w:val="0"/>
        </w:rPr>
        <w:t xml:space="preserve">Tabla 1. Notas de corte, admisión y acceso para el grado en Ingeniería Informática. En amarillo, los cursos académicos en los que el grado ha ostentado el sello Euro-Inf. (Fuentes: Distrito Único Andaluz y Servicio de Planificación y Evaluación de la Universidad de Jaén)</w:t>
      </w:r>
    </w:p>
    <w:p w:rsidR="00000000" w:rsidDel="00000000" w:rsidP="00000000" w:rsidRDefault="00000000" w:rsidRPr="00000000" w14:paraId="0000008E">
      <w:pPr>
        <w:spacing w:after="200" w:lineRule="auto"/>
        <w:jc w:val="both"/>
        <w:rPr/>
      </w:pPr>
      <w:r w:rsidDel="00000000" w:rsidR="00000000" w:rsidRPr="00000000">
        <w:rPr>
          <w:rtl w:val="0"/>
        </w:rPr>
        <w:t xml:space="preserve">Por otra parte, la demanda de esta titulación permanece en niveles muy altos, cubriéndose la oferta de plazas (150 cada año) en la práctica totalidad de los cursos académicos.</w:t>
      </w:r>
    </w:p>
    <w:p w:rsidR="00000000" w:rsidDel="00000000" w:rsidP="00000000" w:rsidRDefault="00000000" w:rsidRPr="00000000" w14:paraId="0000008F">
      <w:pPr>
        <w:pStyle w:val="Heading2"/>
        <w:spacing w:after="200" w:lineRule="auto"/>
        <w:jc w:val="both"/>
        <w:rPr/>
      </w:pPr>
      <w:bookmarkStart w:colFirst="0" w:colLast="0" w:name="_5dwzbdmtkici" w:id="4"/>
      <w:bookmarkEnd w:id="4"/>
      <w:r w:rsidDel="00000000" w:rsidR="00000000" w:rsidRPr="00000000">
        <w:rPr>
          <w:rtl w:val="0"/>
        </w:rPr>
        <w:t xml:space="preserve">2.2. Estudiantado</w:t>
      </w:r>
    </w:p>
    <w:p w:rsidR="00000000" w:rsidDel="00000000" w:rsidP="00000000" w:rsidRDefault="00000000" w:rsidRPr="00000000" w14:paraId="00000090">
      <w:pPr>
        <w:spacing w:after="200" w:lineRule="auto"/>
        <w:jc w:val="both"/>
        <w:rPr/>
      </w:pPr>
      <w:r w:rsidDel="00000000" w:rsidR="00000000" w:rsidRPr="00000000">
        <w:rPr>
          <w:rtl w:val="0"/>
        </w:rPr>
        <w:t xml:space="preserve">En cuanto al nivel del estudiantado, la Tabla 2 recoge las tasas de rendimiento, éxito, eficiencia y no presentados. En ella se puede ver que las tasas no han sufrido grandes variaciones a lo largo del tiempo.</w:t>
      </w:r>
    </w:p>
    <w:tbl>
      <w:tblPr>
        <w:tblStyle w:val="Table3"/>
        <w:tblW w:w="8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735"/>
        <w:gridCol w:w="780"/>
        <w:gridCol w:w="765"/>
        <w:gridCol w:w="765"/>
        <w:gridCol w:w="780"/>
        <w:gridCol w:w="780"/>
        <w:gridCol w:w="765"/>
        <w:gridCol w:w="765"/>
        <w:gridCol w:w="780"/>
        <w:tblGridChange w:id="0">
          <w:tblGrid>
            <w:gridCol w:w="1485"/>
            <w:gridCol w:w="735"/>
            <w:gridCol w:w="780"/>
            <w:gridCol w:w="765"/>
            <w:gridCol w:w="765"/>
            <w:gridCol w:w="780"/>
            <w:gridCol w:w="780"/>
            <w:gridCol w:w="765"/>
            <w:gridCol w:w="765"/>
            <w:gridCol w:w="780"/>
          </w:tblGrid>
        </w:tblGridChange>
      </w:tblGrid>
      <w:tr>
        <w:trPr>
          <w:cantSplit w:val="0"/>
          <w:tblHeader w:val="0"/>
        </w:trPr>
        <w:tc>
          <w:tcPr>
            <w:tcBorders>
              <w:top w:color="ffffff" w:space="0" w:sz="8" w:val="single"/>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16/17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17/18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18/19</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19/20</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20/21</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21/22</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22/23</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23/24</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24/25</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Rendimiento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60.66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rPr>
                <w:sz w:val="20"/>
                <w:szCs w:val="20"/>
              </w:rPr>
            </w:pPr>
            <w:r w:rsidDel="00000000" w:rsidR="00000000" w:rsidRPr="00000000">
              <w:rPr>
                <w:sz w:val="20"/>
                <w:szCs w:val="20"/>
                <w:rtl w:val="0"/>
              </w:rPr>
              <w:t xml:space="preserve">61.54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line="240" w:lineRule="auto"/>
              <w:rPr>
                <w:sz w:val="20"/>
                <w:szCs w:val="20"/>
              </w:rPr>
            </w:pPr>
            <w:r w:rsidDel="00000000" w:rsidR="00000000" w:rsidRPr="00000000">
              <w:rPr>
                <w:sz w:val="20"/>
                <w:szCs w:val="20"/>
                <w:rtl w:val="0"/>
              </w:rPr>
              <w:t xml:space="preserve">58.17</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rPr>
                <w:sz w:val="20"/>
                <w:szCs w:val="20"/>
              </w:rPr>
            </w:pPr>
            <w:r w:rsidDel="00000000" w:rsidR="00000000" w:rsidRPr="00000000">
              <w:rPr>
                <w:sz w:val="20"/>
                <w:szCs w:val="20"/>
                <w:rtl w:val="0"/>
              </w:rPr>
              <w:t xml:space="preserve">66.68</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rPr>
                <w:sz w:val="20"/>
                <w:szCs w:val="20"/>
              </w:rPr>
            </w:pPr>
            <w:r w:rsidDel="00000000" w:rsidR="00000000" w:rsidRPr="00000000">
              <w:rPr>
                <w:sz w:val="20"/>
                <w:szCs w:val="20"/>
                <w:rtl w:val="0"/>
              </w:rPr>
              <w:t xml:space="preserve">59.26</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1">
            <w:pPr>
              <w:widowControl w:val="0"/>
              <w:spacing w:line="240" w:lineRule="auto"/>
              <w:rPr>
                <w:sz w:val="20"/>
                <w:szCs w:val="20"/>
              </w:rPr>
            </w:pPr>
            <w:r w:rsidDel="00000000" w:rsidR="00000000" w:rsidRPr="00000000">
              <w:rPr>
                <w:sz w:val="20"/>
                <w:szCs w:val="20"/>
                <w:rtl w:val="0"/>
              </w:rPr>
              <w:t xml:space="preserve">59.02</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rPr>
                <w:sz w:val="20"/>
                <w:szCs w:val="20"/>
              </w:rPr>
            </w:pPr>
            <w:r w:rsidDel="00000000" w:rsidR="00000000" w:rsidRPr="00000000">
              <w:rPr>
                <w:sz w:val="20"/>
                <w:szCs w:val="20"/>
                <w:rtl w:val="0"/>
              </w:rPr>
              <w:t xml:space="preserve">62.29</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rPr>
                <w:sz w:val="20"/>
                <w:szCs w:val="20"/>
              </w:rPr>
            </w:pPr>
            <w:r w:rsidDel="00000000" w:rsidR="00000000" w:rsidRPr="00000000">
              <w:rPr>
                <w:sz w:val="20"/>
                <w:szCs w:val="20"/>
                <w:rtl w:val="0"/>
              </w:rPr>
              <w:t xml:space="preserve">66.37</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rPr>
                <w:sz w:val="20"/>
                <w:szCs w:val="20"/>
              </w:rPr>
            </w:pPr>
            <w:r w:rsidDel="00000000" w:rsidR="00000000" w:rsidRPr="00000000">
              <w:rPr>
                <w:sz w:val="20"/>
                <w:szCs w:val="20"/>
                <w:rtl w:val="0"/>
              </w:rPr>
              <w:t xml:space="preserve">63.97</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Éxito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74.63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rPr>
                <w:sz w:val="20"/>
                <w:szCs w:val="20"/>
              </w:rPr>
            </w:pPr>
            <w:r w:rsidDel="00000000" w:rsidR="00000000" w:rsidRPr="00000000">
              <w:rPr>
                <w:sz w:val="20"/>
                <w:szCs w:val="20"/>
                <w:rtl w:val="0"/>
              </w:rPr>
              <w:t xml:space="preserve">74.59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rPr>
                <w:sz w:val="20"/>
                <w:szCs w:val="20"/>
              </w:rPr>
            </w:pPr>
            <w:r w:rsidDel="00000000" w:rsidR="00000000" w:rsidRPr="00000000">
              <w:rPr>
                <w:sz w:val="20"/>
                <w:szCs w:val="20"/>
                <w:rtl w:val="0"/>
              </w:rPr>
              <w:t xml:space="preserve">73.36</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rPr>
                <w:sz w:val="20"/>
                <w:szCs w:val="20"/>
              </w:rPr>
            </w:pPr>
            <w:r w:rsidDel="00000000" w:rsidR="00000000" w:rsidRPr="00000000">
              <w:rPr>
                <w:sz w:val="20"/>
                <w:szCs w:val="20"/>
                <w:rtl w:val="0"/>
              </w:rPr>
              <w:t xml:space="preserve">78.73</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A">
            <w:pPr>
              <w:widowControl w:val="0"/>
              <w:spacing w:line="240" w:lineRule="auto"/>
              <w:rPr>
                <w:sz w:val="20"/>
                <w:szCs w:val="20"/>
              </w:rPr>
            </w:pPr>
            <w:r w:rsidDel="00000000" w:rsidR="00000000" w:rsidRPr="00000000">
              <w:rPr>
                <w:sz w:val="20"/>
                <w:szCs w:val="20"/>
                <w:rtl w:val="0"/>
              </w:rPr>
              <w:t xml:space="preserve">73.87</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rPr>
                <w:sz w:val="20"/>
                <w:szCs w:val="20"/>
              </w:rPr>
            </w:pPr>
            <w:r w:rsidDel="00000000" w:rsidR="00000000" w:rsidRPr="00000000">
              <w:rPr>
                <w:sz w:val="20"/>
                <w:szCs w:val="20"/>
                <w:rtl w:val="0"/>
              </w:rPr>
              <w:t xml:space="preserve">71</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rPr>
                <w:sz w:val="20"/>
                <w:szCs w:val="20"/>
              </w:rPr>
            </w:pPr>
            <w:r w:rsidDel="00000000" w:rsidR="00000000" w:rsidRPr="00000000">
              <w:rPr>
                <w:sz w:val="20"/>
                <w:szCs w:val="20"/>
                <w:rtl w:val="0"/>
              </w:rPr>
              <w:t xml:space="preserve">75.16</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rPr>
                <w:sz w:val="20"/>
                <w:szCs w:val="20"/>
              </w:rPr>
            </w:pPr>
            <w:r w:rsidDel="00000000" w:rsidR="00000000" w:rsidRPr="00000000">
              <w:rPr>
                <w:sz w:val="20"/>
                <w:szCs w:val="20"/>
                <w:rtl w:val="0"/>
              </w:rPr>
              <w:t xml:space="preserve">77.22</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rPr>
                <w:sz w:val="20"/>
                <w:szCs w:val="20"/>
              </w:rPr>
            </w:pPr>
            <w:r w:rsidDel="00000000" w:rsidR="00000000" w:rsidRPr="00000000">
              <w:rPr>
                <w:sz w:val="20"/>
                <w:szCs w:val="20"/>
                <w:rtl w:val="0"/>
              </w:rPr>
              <w:t xml:space="preserve">76.19</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Eficiencia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77.87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rPr>
                <w:sz w:val="20"/>
                <w:szCs w:val="20"/>
              </w:rPr>
            </w:pPr>
            <w:r w:rsidDel="00000000" w:rsidR="00000000" w:rsidRPr="00000000">
              <w:rPr>
                <w:sz w:val="20"/>
                <w:szCs w:val="20"/>
                <w:rtl w:val="0"/>
              </w:rPr>
              <w:t xml:space="preserve">78.12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rPr>
                <w:sz w:val="20"/>
                <w:szCs w:val="20"/>
              </w:rPr>
            </w:pPr>
            <w:r w:rsidDel="00000000" w:rsidR="00000000" w:rsidRPr="00000000">
              <w:rPr>
                <w:sz w:val="20"/>
                <w:szCs w:val="20"/>
                <w:rtl w:val="0"/>
              </w:rPr>
              <w:t xml:space="preserve">79.55</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rPr>
                <w:sz w:val="20"/>
                <w:szCs w:val="20"/>
              </w:rPr>
            </w:pPr>
            <w:r w:rsidDel="00000000" w:rsidR="00000000" w:rsidRPr="00000000">
              <w:rPr>
                <w:sz w:val="20"/>
                <w:szCs w:val="20"/>
                <w:rtl w:val="0"/>
              </w:rPr>
              <w:t xml:space="preserve">76.77</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rPr>
                <w:sz w:val="20"/>
                <w:szCs w:val="20"/>
              </w:rPr>
            </w:pPr>
            <w:r w:rsidDel="00000000" w:rsidR="00000000" w:rsidRPr="00000000">
              <w:rPr>
                <w:sz w:val="20"/>
                <w:szCs w:val="20"/>
                <w:rtl w:val="0"/>
              </w:rPr>
              <w:t xml:space="preserve">79.38</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rPr>
                <w:sz w:val="20"/>
                <w:szCs w:val="20"/>
              </w:rPr>
            </w:pPr>
            <w:r w:rsidDel="00000000" w:rsidR="00000000" w:rsidRPr="00000000">
              <w:rPr>
                <w:sz w:val="20"/>
                <w:szCs w:val="20"/>
                <w:rtl w:val="0"/>
              </w:rPr>
              <w:t xml:space="preserve">80.61</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rPr>
                <w:sz w:val="20"/>
                <w:szCs w:val="20"/>
              </w:rPr>
            </w:pPr>
            <w:r w:rsidDel="00000000" w:rsidR="00000000" w:rsidRPr="00000000">
              <w:rPr>
                <w:sz w:val="20"/>
                <w:szCs w:val="20"/>
                <w:rtl w:val="0"/>
              </w:rPr>
              <w:t xml:space="preserve">77.15</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rPr>
                <w:sz w:val="20"/>
                <w:szCs w:val="20"/>
              </w:rPr>
            </w:pPr>
            <w:r w:rsidDel="00000000" w:rsidR="00000000" w:rsidRPr="00000000">
              <w:rPr>
                <w:sz w:val="20"/>
                <w:szCs w:val="20"/>
                <w:rtl w:val="0"/>
              </w:rPr>
              <w:t xml:space="preserve">81.8</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rPr>
                <w:sz w:val="20"/>
                <w:szCs w:val="20"/>
              </w:rPr>
            </w:pPr>
            <w:r w:rsidDel="00000000" w:rsidR="00000000" w:rsidRPr="00000000">
              <w:rPr>
                <w:sz w:val="20"/>
                <w:szCs w:val="20"/>
                <w:rtl w:val="0"/>
              </w:rPr>
              <w:t xml:space="preserve">77.02</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No presentados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18.72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rPr>
                <w:sz w:val="20"/>
                <w:szCs w:val="20"/>
              </w:rPr>
            </w:pPr>
            <w:r w:rsidDel="00000000" w:rsidR="00000000" w:rsidRPr="00000000">
              <w:rPr>
                <w:sz w:val="20"/>
                <w:szCs w:val="20"/>
                <w:rtl w:val="0"/>
              </w:rPr>
              <w:t xml:space="preserve">17.5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rPr>
                <w:sz w:val="20"/>
                <w:szCs w:val="20"/>
              </w:rPr>
            </w:pPr>
            <w:r w:rsidDel="00000000" w:rsidR="00000000" w:rsidRPr="00000000">
              <w:rPr>
                <w:sz w:val="20"/>
                <w:szCs w:val="20"/>
                <w:rtl w:val="0"/>
              </w:rPr>
              <w:t xml:space="preserve">20.7 </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rPr>
                <w:sz w:val="20"/>
                <w:szCs w:val="20"/>
              </w:rPr>
            </w:pPr>
            <w:r w:rsidDel="00000000" w:rsidR="00000000" w:rsidRPr="00000000">
              <w:rPr>
                <w:sz w:val="20"/>
                <w:szCs w:val="20"/>
                <w:rtl w:val="0"/>
              </w:rPr>
              <w:t xml:space="preserve">15.31</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rPr>
                <w:sz w:val="20"/>
                <w:szCs w:val="20"/>
              </w:rPr>
            </w:pPr>
            <w:r w:rsidDel="00000000" w:rsidR="00000000" w:rsidRPr="00000000">
              <w:rPr>
                <w:sz w:val="20"/>
                <w:szCs w:val="20"/>
                <w:rtl w:val="0"/>
              </w:rPr>
              <w:t xml:space="preserve">19.78</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rPr>
                <w:sz w:val="20"/>
                <w:szCs w:val="20"/>
              </w:rPr>
            </w:pPr>
            <w:r w:rsidDel="00000000" w:rsidR="00000000" w:rsidRPr="00000000">
              <w:rPr>
                <w:sz w:val="20"/>
                <w:szCs w:val="20"/>
                <w:rtl w:val="0"/>
              </w:rPr>
              <w:t xml:space="preserve">16.86</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rPr>
                <w:sz w:val="20"/>
                <w:szCs w:val="20"/>
              </w:rPr>
            </w:pPr>
            <w:r w:rsidDel="00000000" w:rsidR="00000000" w:rsidRPr="00000000">
              <w:rPr>
                <w:sz w:val="20"/>
                <w:szCs w:val="20"/>
                <w:rtl w:val="0"/>
              </w:rPr>
              <w:t xml:space="preserve">17.12</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rPr>
                <w:sz w:val="20"/>
                <w:szCs w:val="20"/>
              </w:rPr>
            </w:pPr>
            <w:r w:rsidDel="00000000" w:rsidR="00000000" w:rsidRPr="00000000">
              <w:rPr>
                <w:sz w:val="20"/>
                <w:szCs w:val="20"/>
                <w:rtl w:val="0"/>
              </w:rPr>
              <w:t xml:space="preserve">14.05</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rPr>
                <w:sz w:val="20"/>
                <w:szCs w:val="20"/>
              </w:rPr>
            </w:pPr>
            <w:r w:rsidDel="00000000" w:rsidR="00000000" w:rsidRPr="00000000">
              <w:rPr>
                <w:sz w:val="20"/>
                <w:szCs w:val="20"/>
                <w:rtl w:val="0"/>
              </w:rPr>
              <w:t xml:space="preserve">16.05</w:t>
            </w:r>
          </w:p>
        </w:tc>
      </w:tr>
    </w:tbl>
    <w:p w:rsidR="00000000" w:rsidDel="00000000" w:rsidP="00000000" w:rsidRDefault="00000000" w:rsidRPr="00000000" w14:paraId="000000C3">
      <w:pPr>
        <w:spacing w:after="200" w:before="200" w:lineRule="auto"/>
        <w:jc w:val="center"/>
        <w:rPr>
          <w:i w:val="1"/>
        </w:rPr>
      </w:pPr>
      <w:r w:rsidDel="00000000" w:rsidR="00000000" w:rsidRPr="00000000">
        <w:rPr>
          <w:i w:val="1"/>
          <w:rtl w:val="0"/>
        </w:rPr>
        <w:t xml:space="preserve">Tabla 2. Tasas (valores en tanto por ciento) de rendimiento, éxito, eficiencia y no presentados en el grado en Ingeniería Informática. En amarillo, los cursos académicos en los que el grado ha ostentado el sello Euro-Inf (Fuente: Servicio de Planificación y Evaluación de la Universidad de Jaén)</w:t>
      </w:r>
    </w:p>
    <w:p w:rsidR="00000000" w:rsidDel="00000000" w:rsidP="00000000" w:rsidRDefault="00000000" w:rsidRPr="00000000" w14:paraId="000000C4">
      <w:pPr>
        <w:pStyle w:val="Heading2"/>
        <w:spacing w:after="200" w:lineRule="auto"/>
        <w:jc w:val="both"/>
        <w:rPr/>
      </w:pPr>
      <w:bookmarkStart w:colFirst="0" w:colLast="0" w:name="_y5zolp4papvv" w:id="5"/>
      <w:bookmarkEnd w:id="5"/>
      <w:r w:rsidDel="00000000" w:rsidR="00000000" w:rsidRPr="00000000">
        <w:rPr>
          <w:rtl w:val="0"/>
        </w:rPr>
        <w:t xml:space="preserve">2.3. Empleabilidad</w:t>
      </w:r>
    </w:p>
    <w:p w:rsidR="00000000" w:rsidDel="00000000" w:rsidP="00000000" w:rsidRDefault="00000000" w:rsidRPr="00000000" w14:paraId="000000C5">
      <w:pPr>
        <w:spacing w:after="200" w:lineRule="auto"/>
        <w:jc w:val="both"/>
        <w:rPr/>
      </w:pPr>
      <w:r w:rsidDel="00000000" w:rsidR="00000000" w:rsidRPr="00000000">
        <w:rPr>
          <w:rtl w:val="0"/>
        </w:rPr>
        <w:t xml:space="preserve">Respecto a la empleabilidad de los egresados, en los informes de inserción laboral que cada año elabora la Universidad de Jaén</w:t>
      </w:r>
      <w:r w:rsidDel="00000000" w:rsidR="00000000" w:rsidRPr="00000000">
        <w:rPr>
          <w:vertAlign w:val="superscript"/>
        </w:rPr>
        <w:footnoteReference w:customMarkFollows="0" w:id="2"/>
      </w:r>
      <w:r w:rsidDel="00000000" w:rsidR="00000000" w:rsidRPr="00000000">
        <w:rPr>
          <w:rtl w:val="0"/>
        </w:rPr>
        <w:t xml:space="preserve"> no se recogen datos relacionados explícitamente con el sello Euro-Inf. No obstante, se puede observar en la Tabla 3 que la empleabilidad de los egresados es muy alta, siendo el promedio superior en aquellos cursos académicos en que el grado ostenta el sello Euro-Inf. Respecto a la movilidad geográfica (esto es, egresados que han tenido que desplazarse a otro municipio para trabajar), se aprecia que ha disminuido en los últimos años. Esto probablemente se debe a dos factores: por un lado, el aumento del teletrabajo (en Informática es especialmente fácil implantar esta modalidad), y por el otro, el incremento del tejido empresarial local relacionado con las nuevas tecnologías.</w:t>
      </w:r>
    </w:p>
    <w:tbl>
      <w:tblPr>
        <w:tblStyle w:val="Table4"/>
        <w:tblW w:w="8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765"/>
        <w:gridCol w:w="735"/>
        <w:gridCol w:w="720"/>
        <w:gridCol w:w="750"/>
        <w:gridCol w:w="720"/>
        <w:gridCol w:w="735"/>
        <w:gridCol w:w="720"/>
        <w:gridCol w:w="735"/>
        <w:gridCol w:w="735"/>
        <w:tblGridChange w:id="0">
          <w:tblGrid>
            <w:gridCol w:w="1785"/>
            <w:gridCol w:w="765"/>
            <w:gridCol w:w="735"/>
            <w:gridCol w:w="720"/>
            <w:gridCol w:w="750"/>
            <w:gridCol w:w="720"/>
            <w:gridCol w:w="735"/>
            <w:gridCol w:w="720"/>
            <w:gridCol w:w="735"/>
            <w:gridCol w:w="735"/>
          </w:tblGrid>
        </w:tblGridChange>
      </w:tblGrid>
      <w:tr>
        <w:trPr>
          <w:cantSplit w:val="0"/>
          <w:tblHeader w:val="0"/>
        </w:trPr>
        <w:tc>
          <w:tcPr>
            <w:tcBorders>
              <w:top w:color="ffffff" w:space="0" w:sz="8" w:val="single"/>
              <w:lef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14/15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15/16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16/17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17/18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18/19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19/20</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20/21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21/22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22/23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Inserción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72.09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87.50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85.42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77.19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83.33</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96.15</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89.66</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83.33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0"/>
                <w:szCs w:val="20"/>
              </w:rPr>
            </w:pPr>
            <w:r w:rsidDel="00000000" w:rsidR="00000000" w:rsidRPr="00000000">
              <w:rPr>
                <w:b w:val="1"/>
                <w:sz w:val="20"/>
                <w:szCs w:val="20"/>
                <w:rtl w:val="0"/>
              </w:rPr>
              <w:t xml:space="preserve">Movilidad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78.95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79.17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66.67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77.78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72.00</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70.45</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78.57</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62.96</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61.29</w:t>
            </w:r>
          </w:p>
        </w:tc>
      </w:tr>
    </w:tbl>
    <w:p w:rsidR="00000000" w:rsidDel="00000000" w:rsidP="00000000" w:rsidRDefault="00000000" w:rsidRPr="00000000" w14:paraId="000000E4">
      <w:pPr>
        <w:spacing w:after="200" w:before="200" w:lineRule="auto"/>
        <w:jc w:val="center"/>
        <w:rPr>
          <w:i w:val="1"/>
        </w:rPr>
      </w:pPr>
      <w:r w:rsidDel="00000000" w:rsidR="00000000" w:rsidRPr="00000000">
        <w:rPr>
          <w:i w:val="1"/>
          <w:rtl w:val="0"/>
        </w:rPr>
        <w:t xml:space="preserve">Tabla 3. Tasas (valores en tanto por ciento) de inserción laboral y de movilidad geográfica en el empleo de los egresados del grado en Ingeniería Informática un año después de finalizar los estudios (Fuente: Servicio de Atención y Ayudas al Estudiante de la Universidad de Jaén)</w:t>
      </w:r>
    </w:p>
    <w:sectPr>
      <w:headerReference r:id="rId25" w:type="default"/>
      <w:footerReference r:id="rId26" w:type="default"/>
      <w:footerReference r:id="rId27" w:type="first"/>
      <w:pgSz w:h="16838" w:w="11906" w:orient="portrait"/>
      <w:pgMar w:bottom="1417.3228346456694" w:top="1700.7874015748032" w:left="1700.7874015748032" w:right="1700.7874015748032" w:header="426"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E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https://www.distritounicoandaluz.es</w:t>
        </w:r>
      </w:hyperlink>
      <w:r w:rsidDel="00000000" w:rsidR="00000000" w:rsidRPr="00000000">
        <w:rPr>
          <w:rtl w:val="0"/>
        </w:rPr>
      </w:r>
    </w:p>
  </w:footnote>
  <w:footnote w:id="1">
    <w:p w:rsidR="00000000" w:rsidDel="00000000" w:rsidP="00000000" w:rsidRDefault="00000000" w:rsidRPr="00000000" w14:paraId="000000E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https://www.ujaen.es/servicios/spe/indicadores-clave-sgc-centros/resultados-academicos</w:t>
        </w:r>
      </w:hyperlink>
      <w:r w:rsidDel="00000000" w:rsidR="00000000" w:rsidRPr="00000000">
        <w:rPr>
          <w:rtl w:val="0"/>
        </w:rPr>
      </w:r>
    </w:p>
  </w:footnote>
  <w:footnote w:id="2">
    <w:p w:rsidR="00000000" w:rsidDel="00000000" w:rsidP="00000000" w:rsidRDefault="00000000" w:rsidRPr="00000000" w14:paraId="000000E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
        <w:r w:rsidDel="00000000" w:rsidR="00000000" w:rsidRPr="00000000">
          <w:rPr>
            <w:color w:val="1155cc"/>
            <w:sz w:val="20"/>
            <w:szCs w:val="20"/>
            <w:u w:val="single"/>
            <w:rtl w:val="0"/>
          </w:rPr>
          <w:t xml:space="preserve">https://empleo.ujaen.es/index.php/empleo/estudio-de-insercion</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left" w:leader="none" w:pos="3177"/>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1079047" cy="690087"/>
          <wp:effectExtent b="0" l="0" r="0" t="0"/>
          <wp:docPr descr="Logotipo, nombre de la empresa&#10;&#10;Descripción generada automáticamente" id="1" name="image2.png"/>
          <a:graphic>
            <a:graphicData uri="http://schemas.openxmlformats.org/drawingml/2006/picture">
              <pic:pic>
                <pic:nvPicPr>
                  <pic:cNvPr descr="Logotipo, nombre de la empresa&#10;&#10;Descripción generada automáticamente" id="0" name="image2.png"/>
                  <pic:cNvPicPr preferRelativeResize="0"/>
                </pic:nvPicPr>
                <pic:blipFill>
                  <a:blip r:embed="rId1"/>
                  <a:srcRect b="0" l="0" r="0" t="0"/>
                  <a:stretch>
                    <a:fillRect/>
                  </a:stretch>
                </pic:blipFill>
                <pic:spPr>
                  <a:xfrm>
                    <a:off x="0" y="0"/>
                    <a:ext cx="1079047" cy="690087"/>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38200" cy="457200"/>
          <wp:effectExtent b="0" l="0" r="0" t="0"/>
          <wp:docPr descr="Descripción: X:\Unidad de evaluación de enseñanzas e instituciones\ACREDITA PLUS-SIC\1. BASE DE DATOS SIC_AC-SIC\Logos_y_firmas escaneadas\SIC\Nuevos\SIC_Pastilla_Color_RGB.png" id="2" name="image1.png"/>
          <a:graphic>
            <a:graphicData uri="http://schemas.openxmlformats.org/drawingml/2006/picture">
              <pic:pic>
                <pic:nvPicPr>
                  <pic:cNvPr descr="Descripción: X:\Unidad de evaluación de enseñanzas e instituciones\ACREDITA PLUS-SIC\1. BASE DE DATOS SIC_AC-SIC\Logos_y_firmas escaneadas\SIC\Nuevos\SIC_Pastilla_Color_RGB.png" id="0" name="image1.png"/>
                  <pic:cNvPicPr preferRelativeResize="0"/>
                </pic:nvPicPr>
                <pic:blipFill>
                  <a:blip r:embed="rId2"/>
                  <a:srcRect b="0" l="0" r="0" t="0"/>
                  <a:stretch>
                    <a:fillRect/>
                  </a:stretch>
                </pic:blipFill>
                <pic:spPr>
                  <a:xfrm>
                    <a:off x="0" y="0"/>
                    <a:ext cx="838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ondacerojaen.es/inicio/la-eps-de-linares-y-la-eps-de-jaen-obtienen-los-sellos-internacionales-de-calidad-eur-ace-y-euro-inf-para-titulaciones-de-grado-y-master" TargetMode="External"/><Relationship Id="rId22" Type="http://schemas.openxmlformats.org/officeDocument/2006/relationships/hyperlink" Target="https://www.europapress.es/andalucia/noticia-escuelas-politecnicas-superiores-universidad-jaen-obtienen-once-sellos-internacionales-calidad-aneca-20210712141518.html" TargetMode="External"/><Relationship Id="rId21" Type="http://schemas.openxmlformats.org/officeDocument/2006/relationships/hyperlink" Target="https://www.20minutos.es/noticia/3567788/0/grado-ingenieria-informatica-uja-recibe-sello-europeo-excelencia/" TargetMode="External"/><Relationship Id="rId24" Type="http://schemas.openxmlformats.org/officeDocument/2006/relationships/hyperlink" Target="https://www.facebook.com/share/p/1Ljs5mm7gU/" TargetMode="External"/><Relationship Id="rId23" Type="http://schemas.openxmlformats.org/officeDocument/2006/relationships/hyperlink" Target="https://es.linkedin.com/posts/universidad-de-ja-n_el-grado-en-ingenier%C3%ADa-inform%C3%A1tica-de-la-activity-6503601099033972736-md-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jaen.es/departamentos/dinformatica/docencia" TargetMode="External"/><Relationship Id="rId26" Type="http://schemas.openxmlformats.org/officeDocument/2006/relationships/footer" Target="footer1.xml"/><Relationship Id="rId25" Type="http://schemas.openxmlformats.org/officeDocument/2006/relationships/header" Target="head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iariodigital.ujaen.es/institucional/el-grado-en-ingenieria-informatica-de-la-escuela-politecnica-superior-de-jaen-obtiene" TargetMode="External"/><Relationship Id="rId8" Type="http://schemas.openxmlformats.org/officeDocument/2006/relationships/hyperlink" Target="https://www.ujaen.es/departamentos/dinformatica/noticias/el-grado-en-ingenieria-informatica-obtiene-el-sello-europeo-de-calidad-euro-inf" TargetMode="External"/><Relationship Id="rId11" Type="http://schemas.openxmlformats.org/officeDocument/2006/relationships/hyperlink" Target="https://eps.ujaen.es/grados/grado-en-ingenieria-informatica" TargetMode="External"/><Relationship Id="rId10" Type="http://schemas.openxmlformats.org/officeDocument/2006/relationships/hyperlink" Target="https://eps.ujaen.es/noticias/obtencion-de-3-nuevos-sellos-de-calidad-internacional-eur-ace-y-euro-inf" TargetMode="External"/><Relationship Id="rId13" Type="http://schemas.openxmlformats.org/officeDocument/2006/relationships/hyperlink" Target="https://www.ujaen.es/estudios/oferta-academica/grados/grado-en-ingenieria-informatica-eps-jaen" TargetMode="External"/><Relationship Id="rId12" Type="http://schemas.openxmlformats.org/officeDocument/2006/relationships/hyperlink" Target="https://eps.ujaen.es/sites/centro_eps/files/uploads/documents/grados/Ing%20Informatica/05%20-%20D%C3%ADptico%2015x21%20cm%20-%20Ingenier%C3%ADa%20Inform%C3%A1tica.pdf" TargetMode="External"/><Relationship Id="rId15" Type="http://schemas.openxmlformats.org/officeDocument/2006/relationships/hyperlink" Target="https://www.aulamagna.com.es/la-ingenieria-informatica-de-la-uja-un-referente-europeo-universitario/" TargetMode="External"/><Relationship Id="rId14" Type="http://schemas.openxmlformats.org/officeDocument/2006/relationships/hyperlink" Target="https://novaciencia.es/sello-de-excelencia-para-el-grado-de-ingenieria-informatica-de-la-uja/" TargetMode="External"/><Relationship Id="rId17" Type="http://schemas.openxmlformats.org/officeDocument/2006/relationships/hyperlink" Target="https://www.andaluciainformacion.es/articulo/jaen/ingenieria-informatica-de-la-uja-recibe-un-sello-europeo-de-calidad/201902201230112124338.html" TargetMode="External"/><Relationship Id="rId16" Type="http://schemas.openxmlformats.org/officeDocument/2006/relationships/hyperlink" Target="https://www.diariojaen.es/jaen/sello-de-calidad-al-grado-en-ingenieria-informatica-AE5215453" TargetMode="External"/><Relationship Id="rId19" Type="http://schemas.openxmlformats.org/officeDocument/2006/relationships/hyperlink" Target="https://www.infolinares.com/eps-linares-eps-jaen-obtienen-sellos-internacionales-calidad-titulaciones-grado-master/" TargetMode="External"/><Relationship Id="rId18" Type="http://schemas.openxmlformats.org/officeDocument/2006/relationships/hyperlink" Target="https://extrajaen.com/especiales/universidad-de-jaen-grandes-opciones-para-el-futur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distritounicoandaluz.es" TargetMode="External"/><Relationship Id="rId2" Type="http://schemas.openxmlformats.org/officeDocument/2006/relationships/hyperlink" Target="https://www.ujaen.es/servicios/spe/indicadores-clave-sgc-centros/resultados-academicos" TargetMode="External"/><Relationship Id="rId3" Type="http://schemas.openxmlformats.org/officeDocument/2006/relationships/hyperlink" Target="https://empleo.ujaen.es/index.php/empleo/estudio-de-inserc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